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CA" w:rsidRDefault="005D2BCA" w:rsidP="005D2BCA">
      <w:pPr>
        <w:rPr>
          <w:rFonts w:asciiTheme="minorHAnsi" w:hAnsiTheme="minorHAnsi" w:cs="Arial"/>
          <w:b/>
          <w:sz w:val="32"/>
          <w:szCs w:val="22"/>
          <w:u w:val="single"/>
        </w:rPr>
      </w:pPr>
    </w:p>
    <w:p w:rsidR="005D2BCA" w:rsidRDefault="005D2BCA" w:rsidP="005D2BCA">
      <w:pPr>
        <w:rPr>
          <w:rFonts w:asciiTheme="minorHAnsi" w:hAnsiTheme="minorHAnsi" w:cs="Arial"/>
          <w:b/>
          <w:szCs w:val="22"/>
          <w:lang w:val="en-US"/>
        </w:rPr>
      </w:pPr>
    </w:p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Cs w:val="20"/>
          <w:lang w:val="en-US"/>
        </w:rPr>
      </w:pPr>
      <w:r w:rsidRPr="00EA68C4">
        <w:rPr>
          <w:rFonts w:asciiTheme="minorHAnsi" w:hAnsiTheme="minorHAnsi" w:cs="Arial"/>
          <w:b/>
          <w:szCs w:val="20"/>
          <w:lang w:val="en-US"/>
        </w:rPr>
        <w:t>I. Administrative Documents of Manufacture.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1. Power of Attorney (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consulate 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legalization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 or Apostil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).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2. Documents confirming registration of medicine in other countries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 (consulate legalization or Apostil)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3. Document confirming registration of the manufacture as a body corporate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 (consulate legalization or Apostil)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</w:p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szCs w:val="20"/>
          <w:lang w:val="en-US"/>
        </w:rPr>
      </w:pPr>
      <w:r w:rsidRPr="00EA68C4">
        <w:rPr>
          <w:rFonts w:asciiTheme="minorHAnsi" w:hAnsiTheme="minorHAnsi" w:cs="Arial"/>
          <w:b/>
          <w:szCs w:val="20"/>
          <w:lang w:val="en-US"/>
        </w:rPr>
        <w:t xml:space="preserve">II. Documents for the active substance used in the </w:t>
      </w:r>
      <w:r w:rsidR="00EA68C4">
        <w:rPr>
          <w:rFonts w:asciiTheme="minorHAnsi" w:hAnsiTheme="minorHAnsi" w:cs="Arial"/>
          <w:b/>
          <w:szCs w:val="20"/>
          <w:lang w:val="en-US"/>
        </w:rPr>
        <w:t>dosage</w:t>
      </w:r>
      <w:r w:rsidRPr="00EA68C4">
        <w:rPr>
          <w:rFonts w:asciiTheme="minorHAnsi" w:hAnsiTheme="minorHAnsi" w:cs="Arial"/>
          <w:b/>
          <w:szCs w:val="20"/>
          <w:lang w:val="en-US"/>
        </w:rPr>
        <w:t xml:space="preserve"> </w:t>
      </w:r>
      <w:r w:rsidR="00EA68C4">
        <w:rPr>
          <w:rFonts w:asciiTheme="minorHAnsi" w:hAnsiTheme="minorHAnsi" w:cs="Arial"/>
          <w:b/>
          <w:szCs w:val="20"/>
          <w:lang w:val="en-US"/>
        </w:rPr>
        <w:t>form</w:t>
      </w:r>
      <w:r w:rsidRPr="00EA68C4">
        <w:rPr>
          <w:rFonts w:asciiTheme="minorHAnsi" w:hAnsiTheme="minorHAnsi" w:cs="Arial"/>
          <w:b/>
          <w:szCs w:val="20"/>
          <w:lang w:val="en-US"/>
        </w:rPr>
        <w:t>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4. GMP certificate (</w:t>
      </w:r>
      <w:r w:rsidR="00E7420F">
        <w:rPr>
          <w:rFonts w:asciiTheme="minorHAnsi" w:hAnsiTheme="minorHAnsi" w:cs="Arial"/>
          <w:sz w:val="22"/>
          <w:szCs w:val="20"/>
          <w:lang w:val="en-US"/>
        </w:rPr>
        <w:t>consulate legalization or Apostil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).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5. Short scheme of manufacturing process and control methods.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6. Control of critical manufacturing stages and intermediate products.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7. Quality control methods, specification.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</w:p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Cs w:val="20"/>
          <w:lang w:val="en-US"/>
        </w:rPr>
      </w:pPr>
      <w:r w:rsidRPr="00EA68C4">
        <w:rPr>
          <w:rFonts w:asciiTheme="minorHAnsi" w:hAnsiTheme="minorHAnsi" w:cs="Arial"/>
          <w:b/>
          <w:szCs w:val="20"/>
          <w:lang w:val="en-US"/>
        </w:rPr>
        <w:t xml:space="preserve">III. Documents for the </w:t>
      </w:r>
      <w:r w:rsidR="00EA68C4">
        <w:rPr>
          <w:rFonts w:asciiTheme="minorHAnsi" w:hAnsiTheme="minorHAnsi" w:cs="Arial"/>
          <w:b/>
          <w:szCs w:val="20"/>
          <w:lang w:val="en-US"/>
        </w:rPr>
        <w:t>dosage form</w:t>
      </w:r>
      <w:r w:rsidRPr="00EA68C4">
        <w:rPr>
          <w:rFonts w:asciiTheme="minorHAnsi" w:hAnsiTheme="minorHAnsi" w:cs="Arial"/>
          <w:b/>
          <w:szCs w:val="20"/>
          <w:lang w:val="en-US"/>
        </w:rPr>
        <w:t xml:space="preserve"> manufacturing.</w:t>
      </w:r>
    </w:p>
    <w:p w:rsid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8. GMP certificate (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consulate 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legalization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 or Apostil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).</w:t>
      </w:r>
    </w:p>
    <w:p w:rsidR="005D2BCA" w:rsidRPr="005D2BCA" w:rsidRDefault="009823B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9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Short scheme of manufacturing process and control methods.</w:t>
      </w:r>
    </w:p>
    <w:p w:rsidR="005D2BCA" w:rsidRPr="005D2BCA" w:rsidRDefault="00CC00C9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</w:t>
      </w:r>
      <w:r w:rsidR="009823B1">
        <w:rPr>
          <w:rFonts w:asciiTheme="minorHAnsi" w:hAnsiTheme="minorHAnsi" w:cs="Arial"/>
          <w:sz w:val="22"/>
          <w:szCs w:val="20"/>
          <w:lang w:val="en-US"/>
        </w:rPr>
        <w:t>0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 xml:space="preserve">. Batch formulae. </w:t>
      </w:r>
    </w:p>
    <w:p w:rsidR="005D2BCA" w:rsidRPr="005D2BCA" w:rsidRDefault="00CC00C9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</w:t>
      </w:r>
      <w:r w:rsidR="009823B1">
        <w:rPr>
          <w:rFonts w:asciiTheme="minorHAnsi" w:hAnsiTheme="minorHAnsi" w:cs="Arial"/>
          <w:sz w:val="22"/>
          <w:szCs w:val="20"/>
          <w:lang w:val="en-US"/>
        </w:rPr>
        <w:t>1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Control of critical manufacturing stages and intermediate products.</w:t>
      </w:r>
    </w:p>
    <w:p w:rsidR="005D2BCA" w:rsidRPr="005D2BCA" w:rsidRDefault="00CC00C9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</w:t>
      </w:r>
      <w:r w:rsidR="009823B1">
        <w:rPr>
          <w:rFonts w:asciiTheme="minorHAnsi" w:hAnsiTheme="minorHAnsi" w:cs="Arial"/>
          <w:sz w:val="22"/>
          <w:szCs w:val="20"/>
          <w:lang w:val="en-US"/>
        </w:rPr>
        <w:t>2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Validation (qualification) of the process.</w:t>
      </w:r>
    </w:p>
    <w:p w:rsidR="005D2BCA" w:rsidRPr="005D2BCA" w:rsidRDefault="00CC00C9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</w:t>
      </w:r>
      <w:r w:rsidR="009823B1">
        <w:rPr>
          <w:rFonts w:asciiTheme="minorHAnsi" w:hAnsiTheme="minorHAnsi" w:cs="Arial"/>
          <w:sz w:val="22"/>
          <w:szCs w:val="20"/>
          <w:lang w:val="en-US"/>
        </w:rPr>
        <w:t>3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Storing and transporting condition information.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</w:p>
    <w:p w:rsidR="005D2BCA" w:rsidRPr="00EA68C4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Cs w:val="20"/>
          <w:lang w:val="en-US"/>
        </w:rPr>
      </w:pPr>
      <w:r w:rsidRPr="00EA68C4">
        <w:rPr>
          <w:rFonts w:asciiTheme="minorHAnsi" w:hAnsiTheme="minorHAnsi" w:cs="Arial"/>
          <w:b/>
          <w:szCs w:val="20"/>
          <w:lang w:val="en-US"/>
        </w:rPr>
        <w:t xml:space="preserve">IV. Documents for the </w:t>
      </w:r>
      <w:r w:rsidR="00E15E30">
        <w:rPr>
          <w:rFonts w:asciiTheme="minorHAnsi" w:hAnsiTheme="minorHAnsi" w:cs="Arial"/>
          <w:b/>
          <w:szCs w:val="20"/>
          <w:lang w:val="en-US"/>
        </w:rPr>
        <w:t xml:space="preserve">dosage form </w:t>
      </w:r>
      <w:r w:rsidRPr="00EA68C4">
        <w:rPr>
          <w:rFonts w:asciiTheme="minorHAnsi" w:hAnsiTheme="minorHAnsi" w:cs="Arial"/>
          <w:b/>
          <w:szCs w:val="20"/>
          <w:lang w:val="en-US"/>
        </w:rPr>
        <w:t>quality control.</w:t>
      </w:r>
    </w:p>
    <w:p w:rsidR="005D2BCA" w:rsidRPr="005D2BCA" w:rsidRDefault="00CC00C9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</w:t>
      </w:r>
      <w:r w:rsidR="009823B1">
        <w:rPr>
          <w:rFonts w:asciiTheme="minorHAnsi" w:hAnsiTheme="minorHAnsi" w:cs="Arial"/>
          <w:sz w:val="22"/>
          <w:szCs w:val="20"/>
          <w:lang w:val="en-US"/>
        </w:rPr>
        <w:t>4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Certificate of Pharmaceutical Product (CPP) (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consulate 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legalization</w:t>
      </w:r>
      <w:r w:rsidR="00E7420F">
        <w:rPr>
          <w:rFonts w:asciiTheme="minorHAnsi" w:hAnsiTheme="minorHAnsi" w:cs="Arial"/>
          <w:sz w:val="22"/>
          <w:szCs w:val="20"/>
          <w:lang w:val="en-US"/>
        </w:rPr>
        <w:t xml:space="preserve"> or Apostil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).</w:t>
      </w:r>
    </w:p>
    <w:p w:rsidR="005D2BCA" w:rsidRPr="005D2BCA" w:rsidRDefault="009823B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15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Certificate of analysis, for 3 batches.</w:t>
      </w:r>
    </w:p>
    <w:p w:rsidR="005D2BCA" w:rsidRPr="005D2BCA" w:rsidRDefault="009823B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16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Certificate of analysis for the active substance issued by the manufacture of the active substance.</w:t>
      </w:r>
    </w:p>
    <w:p w:rsidR="005D2BCA" w:rsidRPr="005D2BCA" w:rsidRDefault="009823B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17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Certificates of analysis for the inactive substances issued by the manufactures of inactive substances.</w:t>
      </w:r>
    </w:p>
    <w:p w:rsidR="005D2BCA" w:rsidRPr="005D2BCA" w:rsidRDefault="009823B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18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Quality control methods description.</w:t>
      </w:r>
    </w:p>
    <w:p w:rsidR="005D2BCA" w:rsidRPr="005D2BCA" w:rsidRDefault="009823B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19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Reference standards or comparative materials.</w:t>
      </w:r>
    </w:p>
    <w:p w:rsidR="005D2BCA" w:rsidRPr="005D2BCA" w:rsidRDefault="009823B1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20</w:t>
      </w:r>
      <w:r w:rsidR="005D2BCA" w:rsidRPr="005D2BCA">
        <w:rPr>
          <w:rFonts w:asciiTheme="minorHAnsi" w:hAnsiTheme="minorHAnsi" w:cs="Arial"/>
          <w:sz w:val="22"/>
          <w:szCs w:val="20"/>
          <w:lang w:val="en-US"/>
        </w:rPr>
        <w:t>. Validation of analytical procedures.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lastRenderedPageBreak/>
        <w:t>2</w:t>
      </w:r>
      <w:r w:rsidR="009823B1">
        <w:rPr>
          <w:rFonts w:asciiTheme="minorHAnsi" w:hAnsiTheme="minorHAnsi" w:cs="Arial"/>
          <w:sz w:val="22"/>
          <w:szCs w:val="20"/>
          <w:lang w:val="en-US"/>
        </w:rPr>
        <w:t>1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. Impurities characteristics.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2</w:t>
      </w:r>
      <w:r w:rsidR="009823B1">
        <w:rPr>
          <w:rFonts w:asciiTheme="minorHAnsi" w:hAnsiTheme="minorHAnsi" w:cs="Arial"/>
          <w:sz w:val="22"/>
          <w:szCs w:val="20"/>
          <w:lang w:val="en-US"/>
        </w:rPr>
        <w:t>2</w:t>
      </w:r>
      <w:r w:rsidRPr="005D2BCA">
        <w:rPr>
          <w:rFonts w:asciiTheme="minorHAnsi" w:hAnsiTheme="minorHAnsi" w:cs="Arial"/>
          <w:sz w:val="22"/>
          <w:szCs w:val="20"/>
          <w:lang w:val="en-US"/>
        </w:rPr>
        <w:t xml:space="preserve">. Documents confirming that the primary and secondary materials are permitted to be used in pharmaceutical industry in the country of origin. 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 w:val="22"/>
          <w:szCs w:val="20"/>
          <w:lang w:val="en-US"/>
        </w:rPr>
      </w:pPr>
      <w:r w:rsidRPr="005D2BCA">
        <w:rPr>
          <w:rFonts w:asciiTheme="minorHAnsi" w:hAnsiTheme="minorHAnsi" w:cs="Arial"/>
          <w:b/>
          <w:sz w:val="22"/>
          <w:szCs w:val="20"/>
          <w:lang w:val="en-US"/>
        </w:rPr>
        <w:t>V. Investigations reports.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2</w:t>
      </w:r>
      <w:r w:rsidR="009823B1">
        <w:rPr>
          <w:rFonts w:asciiTheme="minorHAnsi" w:hAnsiTheme="minorHAnsi" w:cs="Arial"/>
          <w:sz w:val="22"/>
          <w:szCs w:val="20"/>
          <w:lang w:val="en-US"/>
        </w:rPr>
        <w:t>3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. Stability investigation (in primary packaging materials).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2</w:t>
      </w:r>
      <w:r w:rsidR="009823B1">
        <w:rPr>
          <w:rFonts w:asciiTheme="minorHAnsi" w:hAnsiTheme="minorHAnsi" w:cs="Arial"/>
          <w:sz w:val="22"/>
          <w:szCs w:val="20"/>
          <w:lang w:val="en-US"/>
        </w:rPr>
        <w:t>4</w:t>
      </w:r>
      <w:r w:rsidRPr="005D2BCA">
        <w:rPr>
          <w:rFonts w:asciiTheme="minorHAnsi" w:hAnsiTheme="minorHAnsi" w:cs="Arial"/>
          <w:sz w:val="22"/>
          <w:szCs w:val="20"/>
          <w:lang w:val="en-US"/>
        </w:rPr>
        <w:t xml:space="preserve">. </w:t>
      </w:r>
      <w:r w:rsidR="009823B1">
        <w:rPr>
          <w:rFonts w:asciiTheme="minorHAnsi" w:hAnsiTheme="minorHAnsi" w:cs="Arial"/>
          <w:sz w:val="22"/>
          <w:szCs w:val="20"/>
          <w:lang w:val="en-US"/>
        </w:rPr>
        <w:t>Toxicity</w:t>
      </w:r>
      <w:r w:rsidRPr="005D2BCA">
        <w:rPr>
          <w:rFonts w:asciiTheme="minorHAnsi" w:hAnsiTheme="minorHAnsi" w:cs="Arial"/>
          <w:sz w:val="22"/>
          <w:szCs w:val="20"/>
          <w:lang w:val="en-US"/>
        </w:rPr>
        <w:t xml:space="preserve"> studies</w:t>
      </w:r>
      <w:r w:rsidR="00E15E30">
        <w:rPr>
          <w:rFonts w:asciiTheme="minorHAnsi" w:hAnsiTheme="minorHAnsi" w:cs="Arial"/>
          <w:sz w:val="22"/>
          <w:szCs w:val="20"/>
          <w:lang w:val="en-US"/>
        </w:rPr>
        <w:t xml:space="preserve"> reports*</w:t>
      </w:r>
      <w:r w:rsidRPr="005D2BCA">
        <w:rPr>
          <w:rFonts w:asciiTheme="minorHAnsi" w:hAnsiTheme="minorHAnsi" w:cs="Arial"/>
          <w:sz w:val="22"/>
          <w:szCs w:val="20"/>
          <w:lang w:val="en-US"/>
        </w:rPr>
        <w:t>: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sz w:val="22"/>
          <w:szCs w:val="20"/>
          <w:lang w:val="en-US"/>
        </w:rPr>
      </w:pPr>
      <w:r w:rsidRPr="005D2BCA">
        <w:rPr>
          <w:rFonts w:asciiTheme="minorHAnsi" w:hAnsiTheme="minorHAnsi" w:cs="Arial"/>
          <w:sz w:val="22"/>
          <w:szCs w:val="20"/>
          <w:lang w:val="en-US"/>
        </w:rPr>
        <w:t>2</w:t>
      </w:r>
      <w:r w:rsidR="009823B1">
        <w:rPr>
          <w:rFonts w:asciiTheme="minorHAnsi" w:hAnsiTheme="minorHAnsi" w:cs="Arial"/>
          <w:sz w:val="22"/>
          <w:szCs w:val="20"/>
          <w:lang w:val="en-US"/>
        </w:rPr>
        <w:t xml:space="preserve">5. </w:t>
      </w:r>
      <w:proofErr w:type="gramStart"/>
      <w:r w:rsidR="009823B1">
        <w:rPr>
          <w:rFonts w:asciiTheme="minorHAnsi" w:hAnsiTheme="minorHAnsi" w:cs="Arial"/>
          <w:sz w:val="22"/>
          <w:szCs w:val="20"/>
          <w:lang w:val="en-US"/>
        </w:rPr>
        <w:t xml:space="preserve">Veterinary </w:t>
      </w:r>
      <w:r w:rsidRPr="005D2BCA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E15E30">
        <w:rPr>
          <w:rFonts w:asciiTheme="minorHAnsi" w:hAnsiTheme="minorHAnsi" w:cs="Arial"/>
          <w:sz w:val="22"/>
          <w:szCs w:val="20"/>
          <w:lang w:val="en-US"/>
        </w:rPr>
        <w:t>trials</w:t>
      </w:r>
      <w:proofErr w:type="gramEnd"/>
      <w:r w:rsidRPr="005D2BCA">
        <w:rPr>
          <w:rFonts w:asciiTheme="minorHAnsi" w:hAnsiTheme="minorHAnsi" w:cs="Arial"/>
          <w:sz w:val="22"/>
          <w:szCs w:val="20"/>
          <w:lang w:val="en-US"/>
        </w:rPr>
        <w:t xml:space="preserve"> reports*</w:t>
      </w:r>
      <w:r w:rsidRPr="005D2BCA">
        <w:rPr>
          <w:rFonts w:asciiTheme="minorHAnsi" w:hAnsiTheme="minorHAnsi" w:cs="Arial"/>
          <w:sz w:val="22"/>
          <w:szCs w:val="20"/>
          <w:lang w:val="en-US"/>
        </w:rPr>
        <w:tab/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 w:val="22"/>
          <w:szCs w:val="20"/>
          <w:lang w:val="en-US"/>
        </w:rPr>
      </w:pPr>
      <w:r w:rsidRPr="005D2BCA">
        <w:rPr>
          <w:rFonts w:asciiTheme="minorHAnsi" w:hAnsiTheme="minorHAnsi" w:cs="Arial"/>
          <w:b/>
          <w:sz w:val="22"/>
          <w:szCs w:val="20"/>
          <w:lang w:val="en-US"/>
        </w:rPr>
        <w:t xml:space="preserve">V. Information for </w:t>
      </w:r>
      <w:r w:rsidR="009823B1">
        <w:rPr>
          <w:rFonts w:asciiTheme="minorHAnsi" w:hAnsiTheme="minorHAnsi" w:cs="Arial"/>
          <w:b/>
          <w:sz w:val="22"/>
          <w:szCs w:val="20"/>
          <w:lang w:val="en-US"/>
        </w:rPr>
        <w:t>veterinarians</w:t>
      </w:r>
      <w:r w:rsidRPr="005D2BCA">
        <w:rPr>
          <w:rFonts w:asciiTheme="minorHAnsi" w:hAnsiTheme="minorHAnsi" w:cs="Arial"/>
          <w:b/>
          <w:sz w:val="22"/>
          <w:szCs w:val="20"/>
          <w:lang w:val="en-US"/>
        </w:rPr>
        <w:t xml:space="preserve"> (leaflet, instruction for medical use).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 w:cs="Arial"/>
          <w:b/>
          <w:sz w:val="22"/>
          <w:szCs w:val="20"/>
          <w:lang w:val="en-US"/>
        </w:rPr>
      </w:pPr>
      <w:r w:rsidRPr="005D2BCA">
        <w:rPr>
          <w:rFonts w:asciiTheme="minorHAnsi" w:hAnsiTheme="minorHAnsi" w:cs="Arial"/>
          <w:b/>
          <w:sz w:val="22"/>
          <w:szCs w:val="20"/>
          <w:lang w:val="en-US"/>
        </w:rPr>
        <w:t>VI. Mocks-up (primary and secondary packages).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  <w:r w:rsidRPr="005D2BCA">
        <w:rPr>
          <w:rFonts w:asciiTheme="minorHAnsi" w:hAnsiTheme="minorHAnsi"/>
          <w:sz w:val="22"/>
          <w:szCs w:val="20"/>
          <w:lang w:val="en-US"/>
        </w:rPr>
        <w:t>_________________________________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  <w:r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*</w:t>
      </w:r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The volume and design of </w:t>
      </w:r>
      <w:r w:rsidR="009823B1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toxicity</w:t>
      </w:r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and </w:t>
      </w:r>
      <w:r w:rsidR="009823B1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veterinary</w:t>
      </w:r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trials depends on the </w:t>
      </w:r>
      <w:r w:rsidR="009823B1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drug</w:t>
      </w:r>
      <w:proofErr w:type="gramStart"/>
      <w:r w:rsidR="009823B1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, </w:t>
      </w:r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presence</w:t>
      </w:r>
      <w:proofErr w:type="gramEnd"/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or absence of analogues in Russia and other facts. Please, apply to our company for determination of necessary kind of trials. </w:t>
      </w:r>
      <w:proofErr w:type="spellStart"/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RegMed</w:t>
      </w:r>
      <w:proofErr w:type="spellEnd"/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prof. </w:t>
      </w:r>
      <w:r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company can organize and conduct the </w:t>
      </w:r>
      <w:r w:rsidR="009823B1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veterinary </w:t>
      </w:r>
      <w:bookmarkStart w:id="0" w:name="_GoBack"/>
      <w:bookmarkEnd w:id="0"/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and pre-clinical trials in purpose of state registration on </w:t>
      </w:r>
      <w:proofErr w:type="gramStart"/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the </w:t>
      </w:r>
      <w:r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territory</w:t>
      </w:r>
      <w:proofErr w:type="gramEnd"/>
      <w:r w:rsidRPr="005D2BCA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 xml:space="preserve"> of Russia</w:t>
      </w:r>
      <w:r w:rsidR="00E15E30">
        <w:rPr>
          <w:rFonts w:asciiTheme="minorHAnsi" w:hAnsiTheme="minorHAnsi"/>
          <w:b/>
          <w:i/>
          <w:color w:val="0D0D0D" w:themeColor="text1" w:themeTint="F2"/>
          <w:sz w:val="22"/>
          <w:szCs w:val="20"/>
          <w:lang w:val="en-US"/>
        </w:rPr>
        <w:t>.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</w:p>
    <w:p w:rsidR="005D2BCA" w:rsidRPr="00CC00C9" w:rsidRDefault="005D2BCA" w:rsidP="000966A9">
      <w:pPr>
        <w:spacing w:line="25" w:lineRule="atLeast"/>
        <w:rPr>
          <w:rFonts w:asciiTheme="minorHAnsi" w:hAnsiTheme="minorHAnsi"/>
          <w:b/>
          <w:sz w:val="22"/>
          <w:szCs w:val="20"/>
          <w:lang w:val="en-US"/>
        </w:rPr>
      </w:pPr>
      <w:r w:rsidRPr="00CC00C9">
        <w:rPr>
          <w:rFonts w:asciiTheme="minorHAnsi" w:hAnsiTheme="minorHAnsi"/>
          <w:b/>
          <w:sz w:val="22"/>
          <w:szCs w:val="20"/>
          <w:lang w:val="en-US"/>
        </w:rPr>
        <w:t>The document is prepared by</w:t>
      </w:r>
    </w:p>
    <w:p w:rsidR="005D2BCA" w:rsidRPr="00CC00C9" w:rsidRDefault="005D2BCA" w:rsidP="000966A9">
      <w:pPr>
        <w:spacing w:line="25" w:lineRule="atLeast"/>
        <w:rPr>
          <w:rFonts w:asciiTheme="minorHAnsi" w:hAnsiTheme="minorHAnsi"/>
          <w:b/>
          <w:sz w:val="22"/>
          <w:szCs w:val="20"/>
          <w:lang w:val="en-US"/>
        </w:rPr>
      </w:pPr>
      <w:proofErr w:type="spellStart"/>
      <w:r w:rsidRPr="00CC00C9">
        <w:rPr>
          <w:rFonts w:asciiTheme="minorHAnsi" w:hAnsiTheme="minorHAnsi"/>
          <w:b/>
          <w:sz w:val="22"/>
          <w:szCs w:val="20"/>
          <w:lang w:val="en-US"/>
        </w:rPr>
        <w:t>Gulsyum</w:t>
      </w:r>
      <w:proofErr w:type="spellEnd"/>
      <w:r w:rsidRPr="00CC00C9">
        <w:rPr>
          <w:rFonts w:asciiTheme="minorHAnsi" w:hAnsiTheme="minorHAnsi"/>
          <w:b/>
          <w:sz w:val="22"/>
          <w:szCs w:val="20"/>
          <w:lang w:val="en-US"/>
        </w:rPr>
        <w:t xml:space="preserve"> </w:t>
      </w:r>
      <w:proofErr w:type="spellStart"/>
      <w:r w:rsidRPr="00CC00C9">
        <w:rPr>
          <w:rFonts w:asciiTheme="minorHAnsi" w:hAnsiTheme="minorHAnsi"/>
          <w:b/>
          <w:sz w:val="22"/>
          <w:szCs w:val="20"/>
          <w:lang w:val="en-US"/>
        </w:rPr>
        <w:t>Khusainova</w:t>
      </w:r>
      <w:proofErr w:type="spellEnd"/>
      <w:r w:rsidRPr="00CC00C9">
        <w:rPr>
          <w:rFonts w:asciiTheme="minorHAnsi" w:hAnsiTheme="minorHAnsi"/>
          <w:b/>
          <w:sz w:val="22"/>
          <w:szCs w:val="20"/>
          <w:lang w:val="en-US"/>
        </w:rPr>
        <w:t>,</w:t>
      </w:r>
    </w:p>
    <w:p w:rsidR="00E15E30" w:rsidRPr="00CC00C9" w:rsidRDefault="005D2BCA" w:rsidP="000966A9">
      <w:pPr>
        <w:spacing w:line="25" w:lineRule="atLeast"/>
        <w:rPr>
          <w:rFonts w:asciiTheme="minorHAnsi" w:hAnsiTheme="minorHAnsi"/>
          <w:b/>
          <w:sz w:val="22"/>
          <w:szCs w:val="20"/>
          <w:lang w:val="en-US"/>
        </w:rPr>
      </w:pPr>
      <w:proofErr w:type="gramStart"/>
      <w:r w:rsidRPr="00CC00C9">
        <w:rPr>
          <w:rFonts w:asciiTheme="minorHAnsi" w:hAnsiTheme="minorHAnsi"/>
          <w:b/>
          <w:sz w:val="22"/>
          <w:szCs w:val="20"/>
          <w:lang w:val="en-US"/>
        </w:rPr>
        <w:t>Medicine registration manager</w:t>
      </w:r>
      <w:r w:rsidR="00E15E30" w:rsidRPr="00CC00C9">
        <w:rPr>
          <w:rFonts w:asciiTheme="minorHAnsi" w:hAnsiTheme="minorHAnsi"/>
          <w:b/>
          <w:sz w:val="22"/>
          <w:szCs w:val="20"/>
          <w:lang w:val="en-US"/>
        </w:rPr>
        <w:t>.</w:t>
      </w:r>
      <w:proofErr w:type="gramEnd"/>
    </w:p>
    <w:p w:rsidR="00E15E30" w:rsidRPr="00CC00C9" w:rsidRDefault="00400E7D" w:rsidP="000966A9">
      <w:pPr>
        <w:spacing w:line="25" w:lineRule="atLeast"/>
        <w:rPr>
          <w:rFonts w:asciiTheme="minorHAnsi" w:hAnsiTheme="minorHAnsi"/>
          <w:b/>
          <w:sz w:val="22"/>
          <w:szCs w:val="20"/>
          <w:lang w:val="en-US"/>
        </w:rPr>
      </w:pPr>
      <w:hyperlink r:id="rId9" w:history="1">
        <w:r w:rsidR="00E15E30" w:rsidRPr="00CC00C9">
          <w:rPr>
            <w:rStyle w:val="a7"/>
            <w:rFonts w:asciiTheme="minorHAnsi" w:hAnsiTheme="minorHAnsi"/>
            <w:b/>
            <w:sz w:val="22"/>
            <w:szCs w:val="20"/>
            <w:lang w:val="en-US"/>
          </w:rPr>
          <w:t>info@regmed.biz</w:t>
        </w:r>
      </w:hyperlink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 w:val="22"/>
          <w:szCs w:val="20"/>
          <w:lang w:val="en-US"/>
        </w:rPr>
      </w:pPr>
      <w:r w:rsidRPr="005D2BCA">
        <w:rPr>
          <w:rFonts w:asciiTheme="minorHAnsi" w:hAnsiTheme="minorHAnsi"/>
          <w:sz w:val="22"/>
          <w:szCs w:val="20"/>
          <w:lang w:val="en-US"/>
        </w:rPr>
        <w:t xml:space="preserve"> </w:t>
      </w: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Cs w:val="22"/>
          <w:lang w:val="en-US"/>
        </w:rPr>
      </w:pPr>
    </w:p>
    <w:p w:rsidR="005D2BCA" w:rsidRPr="005D2BCA" w:rsidRDefault="005D2BCA" w:rsidP="005D2BCA">
      <w:pPr>
        <w:spacing w:before="120" w:after="120" w:line="25" w:lineRule="atLeast"/>
        <w:rPr>
          <w:rFonts w:asciiTheme="minorHAnsi" w:hAnsiTheme="minorHAnsi"/>
          <w:szCs w:val="22"/>
          <w:lang w:val="en-US"/>
        </w:rPr>
      </w:pPr>
    </w:p>
    <w:p w:rsidR="00BE4851" w:rsidRPr="00CC00C9" w:rsidRDefault="005D2BCA" w:rsidP="00FA6E41">
      <w:pPr>
        <w:spacing w:before="120" w:after="120" w:line="25" w:lineRule="atLeast"/>
        <w:rPr>
          <w:rFonts w:asciiTheme="minorHAnsi" w:hAnsiTheme="minorHAnsi"/>
          <w:i/>
          <w:sz w:val="22"/>
          <w:szCs w:val="22"/>
          <w:lang w:val="en-US"/>
        </w:rPr>
      </w:pPr>
      <w:r w:rsidRPr="00CC00C9">
        <w:rPr>
          <w:rFonts w:asciiTheme="minorHAnsi" w:hAnsiTheme="minorHAnsi"/>
          <w:i/>
          <w:sz w:val="22"/>
          <w:szCs w:val="22"/>
          <w:lang w:val="en-US"/>
        </w:rPr>
        <w:t xml:space="preserve">The list of documents is worked out in </w:t>
      </w:r>
      <w:r w:rsidR="00FA6E41" w:rsidRPr="00CC00C9">
        <w:rPr>
          <w:rFonts w:asciiTheme="minorHAnsi" w:hAnsiTheme="minorHAnsi"/>
          <w:i/>
          <w:sz w:val="22"/>
          <w:szCs w:val="22"/>
          <w:lang w:val="en-US"/>
        </w:rPr>
        <w:t>the correspondence with the Federal Law No. 61-</w:t>
      </w:r>
      <w:r w:rsidR="00FA6E41" w:rsidRPr="00CC00C9">
        <w:rPr>
          <w:rFonts w:asciiTheme="minorHAnsi" w:hAnsiTheme="minorHAnsi"/>
          <w:i/>
          <w:sz w:val="22"/>
          <w:szCs w:val="22"/>
        </w:rPr>
        <w:t>ФЗ</w:t>
      </w:r>
      <w:r w:rsidR="00FA6E41" w:rsidRPr="00CC00C9">
        <w:rPr>
          <w:rFonts w:asciiTheme="minorHAnsi" w:hAnsiTheme="minorHAnsi"/>
          <w:i/>
          <w:sz w:val="22"/>
          <w:szCs w:val="22"/>
          <w:lang w:val="en-US"/>
        </w:rPr>
        <w:t xml:space="preserve"> “On circulation of medicines” of April 12, 2010 in latest version of 29/12/2015.</w:t>
      </w:r>
    </w:p>
    <w:p w:rsidR="000966A9" w:rsidRPr="000966A9" w:rsidRDefault="000966A9" w:rsidP="00FA6E41">
      <w:pPr>
        <w:spacing w:before="120" w:after="120" w:line="25" w:lineRule="atLeast"/>
        <w:rPr>
          <w:rFonts w:asciiTheme="minorHAnsi" w:hAnsiTheme="minorHAnsi"/>
          <w:b/>
          <w:i/>
          <w:u w:val="single"/>
          <w:lang w:val="en-US"/>
        </w:rPr>
      </w:pPr>
      <w:r w:rsidRPr="000966A9">
        <w:rPr>
          <w:rFonts w:asciiTheme="minorHAnsi" w:hAnsiTheme="minorHAnsi"/>
          <w:b/>
          <w:i/>
          <w:sz w:val="22"/>
          <w:szCs w:val="22"/>
          <w:u w:val="single"/>
          <w:lang w:val="en-US"/>
        </w:rPr>
        <w:t>The optimal variant for foreign manufacturers is to represent the dossier in CTD format.</w:t>
      </w:r>
    </w:p>
    <w:p w:rsidR="00BE4851" w:rsidRPr="005D2BCA" w:rsidRDefault="00BE4851" w:rsidP="00BE4851">
      <w:pPr>
        <w:rPr>
          <w:lang w:val="en-US"/>
        </w:rPr>
      </w:pPr>
    </w:p>
    <w:p w:rsidR="00423C61" w:rsidRPr="005D2BCA" w:rsidRDefault="00BE4851" w:rsidP="00BE4851">
      <w:pPr>
        <w:tabs>
          <w:tab w:val="left" w:pos="7035"/>
        </w:tabs>
        <w:rPr>
          <w:lang w:val="en-US"/>
        </w:rPr>
      </w:pPr>
      <w:r w:rsidRPr="005D2BCA">
        <w:rPr>
          <w:lang w:val="en-US"/>
        </w:rPr>
        <w:tab/>
      </w:r>
    </w:p>
    <w:sectPr w:rsidR="00423C61" w:rsidRPr="005D2BCA" w:rsidSect="00423C61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7D" w:rsidRDefault="00400E7D">
      <w:r>
        <w:separator/>
      </w:r>
    </w:p>
  </w:endnote>
  <w:endnote w:type="continuationSeparator" w:id="0">
    <w:p w:rsidR="00400E7D" w:rsidRDefault="0040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400E7D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</w:rPr>
    </w:pPr>
    <w:r w:rsidRPr="002255F2">
      <w:rPr>
        <w:rFonts w:asciiTheme="minorHAnsi" w:hAnsiTheme="minorHAnsi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7188BC" wp14:editId="3C9773FB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5D2BCA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</w:pPr>
                          <w:r w:rsidRPr="005D2BCA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  <w:t xml:space="preserve">∙ </w:t>
                          </w:r>
                          <w:proofErr w:type="gramStart"/>
                          <w:r w:rsidRPr="005D2BCA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  <w:t>marketing</w:t>
                          </w:r>
                          <w:proofErr w:type="gramEnd"/>
                          <w:r w:rsidRPr="005D2BCA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en-US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</w:rPr>
                              <m:t>∙</m:t>
                            </m:r>
                          </m:oMath>
                        </w:p>
                        <w:p w:rsidR="00BE4851" w:rsidRPr="00BE4851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5D2BCA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</w:pPr>
                    <w:r w:rsidRPr="005D2BCA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  <w:t xml:space="preserve">∙ </w:t>
                    </w:r>
                    <w:proofErr w:type="gramStart"/>
                    <w:r w:rsidRPr="005D2BCA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  <w:t>marketing</w:t>
                    </w:r>
                    <w:proofErr w:type="gramEnd"/>
                    <w:r w:rsidRPr="005D2BCA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en-US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</w:rPr>
                        <m:t>∙</m:t>
                      </m:r>
                    </m:oMath>
                  </w:p>
                  <w:p w:rsidR="00BE4851" w:rsidRPr="00BE4851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7D" w:rsidRDefault="00400E7D">
      <w:r>
        <w:separator/>
      </w:r>
    </w:p>
  </w:footnote>
  <w:footnote w:type="continuationSeparator" w:id="0">
    <w:p w:rsidR="00400E7D" w:rsidRDefault="0040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EA68C4" w:rsidRDefault="00EA68C4" w:rsidP="00EA68C4">
    <w:pPr>
      <w:pStyle w:val="1"/>
      <w:rPr>
        <w:b/>
        <w:color w:val="17365D" w:themeColor="text2" w:themeShade="BF"/>
        <w:sz w:val="36"/>
      </w:rPr>
    </w:pPr>
  </w:p>
  <w:p w:rsidR="009823B1" w:rsidRDefault="00EA68C4" w:rsidP="00EA68C4">
    <w:pPr>
      <w:pStyle w:val="1"/>
      <w:rPr>
        <w:b/>
        <w:color w:val="17365D" w:themeColor="text2" w:themeShade="BF"/>
        <w:sz w:val="36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4AAD168C" wp14:editId="6D46CFA0">
          <wp:simplePos x="0" y="0"/>
          <wp:positionH relativeFrom="column">
            <wp:posOffset>4943475</wp:posOffset>
          </wp:positionH>
          <wp:positionV relativeFrom="paragraph">
            <wp:posOffset>53975</wp:posOffset>
          </wp:positionV>
          <wp:extent cx="1051560" cy="532130"/>
          <wp:effectExtent l="0" t="0" r="0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BCA">
      <w:rPr>
        <w:b/>
        <w:color w:val="17365D" w:themeColor="text2" w:themeShade="BF"/>
        <w:sz w:val="36"/>
      </w:rPr>
      <w:t xml:space="preserve">Marketing authorization of medicines </w:t>
    </w:r>
  </w:p>
  <w:p w:rsidR="00EA68C4" w:rsidRPr="005D2BCA" w:rsidRDefault="009823B1" w:rsidP="00EA68C4">
    <w:pPr>
      <w:pStyle w:val="1"/>
      <w:rPr>
        <w:b/>
        <w:color w:val="17365D" w:themeColor="text2" w:themeShade="BF"/>
        <w:sz w:val="36"/>
      </w:rPr>
    </w:pPr>
    <w:proofErr w:type="gramStart"/>
    <w:r>
      <w:rPr>
        <w:b/>
        <w:color w:val="17365D" w:themeColor="text2" w:themeShade="BF"/>
        <w:sz w:val="36"/>
      </w:rPr>
      <w:t>for</w:t>
    </w:r>
    <w:proofErr w:type="gramEnd"/>
    <w:r>
      <w:rPr>
        <w:b/>
        <w:color w:val="17365D" w:themeColor="text2" w:themeShade="BF"/>
        <w:sz w:val="36"/>
      </w:rPr>
      <w:t xml:space="preserve"> veterinary use </w:t>
    </w:r>
    <w:r w:rsidR="00EA68C4" w:rsidRPr="005D2BCA">
      <w:rPr>
        <w:b/>
        <w:color w:val="17365D" w:themeColor="text2" w:themeShade="BF"/>
        <w:sz w:val="36"/>
      </w:rPr>
      <w:t>in Russia</w:t>
    </w:r>
  </w:p>
  <w:p w:rsidR="00EA68C4" w:rsidRDefault="00EA68C4" w:rsidP="00EA68C4">
    <w:pPr>
      <w:pStyle w:val="af3"/>
      <w:rPr>
        <w:rFonts w:asciiTheme="minorHAnsi" w:hAnsiTheme="minorHAnsi"/>
        <w:b/>
        <w:color w:val="17365D" w:themeColor="text2" w:themeShade="BF"/>
        <w:sz w:val="28"/>
        <w:lang w:val="en-US"/>
      </w:rPr>
    </w:pPr>
  </w:p>
  <w:p w:rsidR="00EA68C4" w:rsidRPr="005D2BCA" w:rsidRDefault="00EA68C4" w:rsidP="00EA68C4">
    <w:pPr>
      <w:pStyle w:val="af3"/>
      <w:rPr>
        <w:rFonts w:asciiTheme="minorHAnsi" w:hAnsiTheme="minorHAnsi"/>
        <w:b/>
        <w:color w:val="17365D" w:themeColor="text2" w:themeShade="BF"/>
        <w:sz w:val="28"/>
        <w:lang w:val="en-US"/>
      </w:rPr>
    </w:pPr>
    <w:r w:rsidRPr="005D2BCA">
      <w:rPr>
        <w:rFonts w:asciiTheme="minorHAnsi" w:hAnsiTheme="minorHAnsi"/>
        <w:b/>
        <w:color w:val="17365D" w:themeColor="text2" w:themeShade="BF"/>
        <w:sz w:val="28"/>
        <w:lang w:val="en-US"/>
      </w:rPr>
      <w:t>The list of documents necessary</w:t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  <w:r>
      <w:rPr>
        <w:rFonts w:asciiTheme="minorHAnsi" w:hAnsiTheme="minorHAnsi"/>
        <w:b/>
        <w:color w:val="17365D" w:themeColor="text2" w:themeShade="BF"/>
        <w:sz w:val="28"/>
        <w:lang w:val="en-US"/>
      </w:rPr>
      <w:tab/>
    </w:r>
  </w:p>
  <w:p w:rsidR="000C29A8" w:rsidRDefault="000C29A8" w:rsidP="000C29A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A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6A9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2BA3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9D3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23AE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0E7D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2BCA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23B1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2B60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0C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5E30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20F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68C4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6E41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A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1A2E"/>
    <w:pPr>
      <w:keepNext/>
      <w:outlineLvl w:val="0"/>
    </w:pPr>
    <w:rPr>
      <w:rFonts w:eastAsia="Malgun Gothic"/>
      <w:sz w:val="32"/>
      <w:szCs w:val="20"/>
      <w:lang w:val="en-US" w:eastAsia="en-US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eastAsia="Malgun Gothic" w:hAnsi="Helvetica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eastAsia="Malgun Gothic" w:hAnsi="Arial"/>
      <w:sz w:val="22"/>
      <w:szCs w:val="20"/>
      <w:lang w:val="en-US" w:eastAsia="en-US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eastAsia="Malgun Gothic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  <w:rPr>
      <w:rFonts w:eastAsia="Malgun Gothic"/>
      <w:sz w:val="20"/>
      <w:szCs w:val="20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  <w:rPr>
      <w:rFonts w:eastAsia="Malgun Gothic"/>
      <w:sz w:val="20"/>
      <w:szCs w:val="20"/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paragraph" w:styleId="af3">
    <w:name w:val="No Spacing"/>
    <w:uiPriority w:val="1"/>
    <w:qFormat/>
    <w:rsid w:val="005D2BCA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A68C4"/>
    <w:rPr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A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1A2E"/>
    <w:pPr>
      <w:keepNext/>
      <w:outlineLvl w:val="0"/>
    </w:pPr>
    <w:rPr>
      <w:rFonts w:eastAsia="Malgun Gothic"/>
      <w:sz w:val="32"/>
      <w:szCs w:val="20"/>
      <w:lang w:val="en-US" w:eastAsia="en-US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eastAsia="Malgun Gothic" w:hAnsi="Helvetica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  <w:rPr>
      <w:rFonts w:eastAsia="Malgun Gothic"/>
      <w:sz w:val="20"/>
      <w:szCs w:val="20"/>
      <w:lang w:val="en-US" w:eastAsia="en-US"/>
    </w:r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eastAsia="Malgun Gothic" w:hAnsi="Arial"/>
      <w:sz w:val="22"/>
      <w:szCs w:val="20"/>
      <w:lang w:val="en-US" w:eastAsia="en-US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eastAsia="Malgun Gothic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  <w:rPr>
      <w:rFonts w:eastAsia="Malgun Gothic"/>
      <w:sz w:val="20"/>
      <w:szCs w:val="20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  <w:rPr>
      <w:rFonts w:eastAsia="Malgun Gothic"/>
      <w:sz w:val="20"/>
      <w:szCs w:val="20"/>
      <w:lang w:val="en-US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paragraph" w:styleId="af3">
    <w:name w:val="No Spacing"/>
    <w:uiPriority w:val="1"/>
    <w:qFormat/>
    <w:rsid w:val="005D2BCA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A68C4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gmed.bi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E067-46A4-4234-91BF-BEB9845C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2016-01-14T19:25:00Z</cp:lastPrinted>
  <dcterms:created xsi:type="dcterms:W3CDTF">2016-05-16T21:37:00Z</dcterms:created>
  <dcterms:modified xsi:type="dcterms:W3CDTF">2016-05-16T21:37:00Z</dcterms:modified>
</cp:coreProperties>
</file>